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5B2B" w14:textId="77777777" w:rsidR="000C0789" w:rsidRDefault="000C0789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400407E" w14:textId="29E4783C" w:rsidR="004C48D6" w:rsidRPr="007A0D3F" w:rsidRDefault="00227C95" w:rsidP="004C48D6">
      <w:pPr>
        <w:autoSpaceDE w:val="0"/>
        <w:autoSpaceDN w:val="0"/>
        <w:adjustRightInd w:val="0"/>
        <w:spacing w:after="0" w:line="240" w:lineRule="auto"/>
      </w:pPr>
      <w:r>
        <w:t>April 17, 2023</w:t>
      </w:r>
    </w:p>
    <w:p w14:paraId="53F65D5C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</w:p>
    <w:p w14:paraId="28B6FFA9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Lisa A. Skumatz, Ph.D.</w:t>
      </w:r>
    </w:p>
    <w:p w14:paraId="0F7AC0BA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Skumatz Economic Research Associates (SERA)</w:t>
      </w:r>
    </w:p>
    <w:p w14:paraId="73405A3D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762 Eldorado Drive</w:t>
      </w:r>
    </w:p>
    <w:p w14:paraId="06D2B89F" w14:textId="2D686931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Superior, CO 80027</w:t>
      </w:r>
    </w:p>
    <w:p w14:paraId="19983D51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</w:p>
    <w:p w14:paraId="5D0152F3" w14:textId="6B5E8838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  <w:r w:rsidRPr="00227C95">
        <w:t>RE:</w:t>
      </w:r>
      <w:r w:rsidR="00FC5FC9" w:rsidRPr="00227C95">
        <w:t xml:space="preserve"> </w:t>
      </w:r>
      <w:r w:rsidR="00227C95" w:rsidRPr="00227C95">
        <w:t>R1983</w:t>
      </w:r>
      <w:r w:rsidR="00227C95">
        <w:t xml:space="preserve"> HES/HES – IE Impact and Process Evaluation</w:t>
      </w:r>
    </w:p>
    <w:p w14:paraId="25CBD899" w14:textId="77777777" w:rsidR="004C48D6" w:rsidRPr="007A0D3F" w:rsidRDefault="004C48D6" w:rsidP="004C48D6">
      <w:pPr>
        <w:autoSpaceDE w:val="0"/>
        <w:autoSpaceDN w:val="0"/>
        <w:adjustRightInd w:val="0"/>
        <w:spacing w:after="0" w:line="240" w:lineRule="auto"/>
      </w:pPr>
    </w:p>
    <w:p w14:paraId="16D80E0B" w14:textId="2EFA982F" w:rsidR="004C48D6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Dear Dr. Skumatz,</w:t>
      </w:r>
    </w:p>
    <w:p w14:paraId="5EAD1FE9" w14:textId="77777777" w:rsidR="007A0D3F" w:rsidRPr="007A0D3F" w:rsidRDefault="007A0D3F" w:rsidP="004C48D6">
      <w:pPr>
        <w:autoSpaceDE w:val="0"/>
        <w:autoSpaceDN w:val="0"/>
        <w:adjustRightInd w:val="0"/>
        <w:spacing w:after="0" w:line="240" w:lineRule="auto"/>
      </w:pPr>
    </w:p>
    <w:p w14:paraId="5686921A" w14:textId="600C6313" w:rsidR="007D3538" w:rsidRDefault="004C48D6" w:rsidP="004C48D6">
      <w:pPr>
        <w:autoSpaceDE w:val="0"/>
        <w:autoSpaceDN w:val="0"/>
        <w:adjustRightInd w:val="0"/>
        <w:spacing w:after="0" w:line="240" w:lineRule="auto"/>
      </w:pPr>
      <w:r w:rsidRPr="007A0D3F">
        <w:t>Eversource Energy (“Eversource”) is pleased to submit these written comments regarding the</w:t>
      </w:r>
      <w:r w:rsidR="008F7753" w:rsidRPr="007A0D3F">
        <w:t xml:space="preserve"> </w:t>
      </w:r>
      <w:r w:rsidR="00D757D1" w:rsidRPr="007A0D3F">
        <w:t>d</w:t>
      </w:r>
      <w:r w:rsidR="00E42ECB" w:rsidRPr="007A0D3F">
        <w:t>raft</w:t>
      </w:r>
      <w:r w:rsidRPr="007A0D3F">
        <w:t xml:space="preserve"> </w:t>
      </w:r>
      <w:r w:rsidRPr="00227C95">
        <w:t xml:space="preserve">evaluation </w:t>
      </w:r>
      <w:r w:rsidR="00C62587" w:rsidRPr="00227C95">
        <w:t>report</w:t>
      </w:r>
      <w:r w:rsidRPr="00227C95">
        <w:t xml:space="preserve">: </w:t>
      </w:r>
      <w:r w:rsidR="00227C95" w:rsidRPr="00227C95">
        <w:t>R1983 HES/HES – IE Impact and Process Evaluation</w:t>
      </w:r>
      <w:r w:rsidR="007D3538">
        <w:t xml:space="preserve">, </w:t>
      </w:r>
      <w:r w:rsidRPr="00227C95">
        <w:t xml:space="preserve">by </w:t>
      </w:r>
      <w:r w:rsidR="00AA758A" w:rsidRPr="00DC2A36">
        <w:t>NMR</w:t>
      </w:r>
      <w:r w:rsidRPr="00DC2A36">
        <w:t xml:space="preserve"> (“Evaluator”). Eversource</w:t>
      </w:r>
      <w:r w:rsidR="008F7753" w:rsidRPr="00DC2A36">
        <w:t xml:space="preserve"> </w:t>
      </w:r>
      <w:r w:rsidRPr="00DC2A36">
        <w:t xml:space="preserve">received the </w:t>
      </w:r>
      <w:r w:rsidR="007D3538">
        <w:t>following:</w:t>
      </w:r>
    </w:p>
    <w:p w14:paraId="4EBA4D92" w14:textId="499C1585" w:rsidR="00170450" w:rsidRDefault="009451AA" w:rsidP="000E7D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 xml:space="preserve">R1983 </w:t>
      </w:r>
      <w:r w:rsidR="007D3538">
        <w:t xml:space="preserve">HES/HES IE </w:t>
      </w:r>
      <w:r w:rsidR="00F82486" w:rsidRPr="00DC2A36">
        <w:t>Draft</w:t>
      </w:r>
      <w:r w:rsidR="0075542B" w:rsidRPr="00DC2A36">
        <w:t xml:space="preserve"> </w:t>
      </w:r>
      <w:r w:rsidR="00C62587" w:rsidRPr="00DC2A36">
        <w:t>Report</w:t>
      </w:r>
      <w:r w:rsidR="004C48D6" w:rsidRPr="00DC2A36">
        <w:t xml:space="preserve"> on </w:t>
      </w:r>
      <w:r w:rsidR="00DC2A36" w:rsidRPr="00DC2A36">
        <w:t>March 13, 2023</w:t>
      </w:r>
    </w:p>
    <w:p w14:paraId="03F25B5F" w14:textId="604E83A9" w:rsidR="000E7DF9" w:rsidRDefault="005A1FD0" w:rsidP="000E7D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I</w:t>
      </w:r>
      <w:r w:rsidRPr="005A1FD0">
        <w:t>mpact Evaluation Supporting Documentation Workbook</w:t>
      </w:r>
      <w:r>
        <w:t xml:space="preserve"> on March 27, 2023 ("Calculation Workbook”)</w:t>
      </w:r>
    </w:p>
    <w:p w14:paraId="7382695D" w14:textId="1B670A83" w:rsidR="009451AA" w:rsidRDefault="007D3538" w:rsidP="00945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 xml:space="preserve">A memo </w:t>
      </w:r>
      <w:r w:rsidR="009451AA">
        <w:t xml:space="preserve">in response to </w:t>
      </w:r>
      <w:r w:rsidR="00A31D9A">
        <w:t xml:space="preserve">Eversource </w:t>
      </w:r>
      <w:r w:rsidR="009451AA">
        <w:t xml:space="preserve">preliminary questions </w:t>
      </w:r>
      <w:r w:rsidR="00A31D9A">
        <w:t>on April 08, 2</w:t>
      </w:r>
      <w:r w:rsidR="001650BD">
        <w:t>023</w:t>
      </w:r>
      <w:r w:rsidR="00F71F02">
        <w:t xml:space="preserve"> (“Memo #1”)</w:t>
      </w:r>
      <w:r w:rsidR="00AF7F23">
        <w:rPr>
          <w:rStyle w:val="FootnoteReference"/>
        </w:rPr>
        <w:footnoteReference w:id="1"/>
      </w:r>
    </w:p>
    <w:p w14:paraId="27CE81CA" w14:textId="63E1AB1C" w:rsidR="007D3538" w:rsidRDefault="007D3538" w:rsidP="002715C0">
      <w:pPr>
        <w:autoSpaceDE w:val="0"/>
        <w:autoSpaceDN w:val="0"/>
        <w:adjustRightInd w:val="0"/>
        <w:spacing w:after="0" w:line="240" w:lineRule="auto"/>
      </w:pPr>
    </w:p>
    <w:p w14:paraId="232C72EA" w14:textId="637CD726" w:rsidR="004C48D6" w:rsidRPr="007A0D3F" w:rsidRDefault="00A31D9A" w:rsidP="00A31D9A">
      <w:pPr>
        <w:autoSpaceDE w:val="0"/>
        <w:autoSpaceDN w:val="0"/>
        <w:adjustRightInd w:val="0"/>
        <w:spacing w:after="0" w:line="240" w:lineRule="auto"/>
      </w:pPr>
      <w:r>
        <w:t>Eversource</w:t>
      </w:r>
      <w:r w:rsidR="00DC2A36" w:rsidRPr="00DC2A36">
        <w:t xml:space="preserve"> </w:t>
      </w:r>
      <w:r w:rsidR="007D3538">
        <w:t>asked for an extension to provide comments</w:t>
      </w:r>
      <w:r w:rsidR="004C48D6" w:rsidRPr="00DC2A36">
        <w:t xml:space="preserve"> by </w:t>
      </w:r>
      <w:r w:rsidR="00DC2A36" w:rsidRPr="00DC2A36">
        <w:t>April 17</w:t>
      </w:r>
      <w:r w:rsidR="004C48D6" w:rsidRPr="00DC2A36">
        <w:t xml:space="preserve">, </w:t>
      </w:r>
      <w:r w:rsidR="00F0407F" w:rsidRPr="00DC2A36">
        <w:t>2023,</w:t>
      </w:r>
      <w:r w:rsidR="00DC2A36" w:rsidRPr="00DC2A36">
        <w:t xml:space="preserve"> and extend the</w:t>
      </w:r>
      <w:r w:rsidR="00DC2A36">
        <w:t xml:space="preserve"> study </w:t>
      </w:r>
      <w:r w:rsidR="00F0407F">
        <w:t>cutoff</w:t>
      </w:r>
      <w:r w:rsidR="00DC2A36">
        <w:t xml:space="preserve"> dat</w:t>
      </w:r>
      <w:r w:rsidR="00AF7F23">
        <w:t>e</w:t>
      </w:r>
      <w:r w:rsidR="00DC2A36">
        <w:t xml:space="preserve"> to </w:t>
      </w:r>
      <w:r w:rsidR="007D3538">
        <w:t xml:space="preserve">June 1, </w:t>
      </w:r>
      <w:r w:rsidR="00F0407F">
        <w:t>2023,</w:t>
      </w:r>
      <w:r w:rsidR="00DC2A36">
        <w:t xml:space="preserve"> to accommodate for the additional review time. </w:t>
      </w:r>
      <w:r w:rsidR="008F7753" w:rsidRPr="007A0D3F">
        <w:t xml:space="preserve"> </w:t>
      </w:r>
      <w:r w:rsidR="004C48D6" w:rsidRPr="007A0D3F">
        <w:t>Per the Energy Efficiency Board Evaluation Road Map Process, these comments are for</w:t>
      </w:r>
      <w:r w:rsidR="008F7753" w:rsidRPr="007A0D3F">
        <w:t xml:space="preserve"> </w:t>
      </w:r>
      <w:r w:rsidR="004C48D6" w:rsidRPr="007A0D3F">
        <w:t xml:space="preserve">consideration for inclusion in the Final </w:t>
      </w:r>
      <w:r w:rsidR="00C62587" w:rsidRPr="007A0D3F">
        <w:t>Report</w:t>
      </w:r>
      <w:r w:rsidR="004C48D6" w:rsidRPr="007A0D3F">
        <w:t>.</w:t>
      </w:r>
    </w:p>
    <w:p w14:paraId="104F26E5" w14:textId="77777777" w:rsidR="008F7753" w:rsidRPr="007A0D3F" w:rsidRDefault="008F7753" w:rsidP="004C48D6">
      <w:pPr>
        <w:autoSpaceDE w:val="0"/>
        <w:autoSpaceDN w:val="0"/>
        <w:adjustRightInd w:val="0"/>
        <w:spacing w:after="0" w:line="240" w:lineRule="auto"/>
      </w:pPr>
    </w:p>
    <w:p w14:paraId="4AB7B62C" w14:textId="700B6705" w:rsidR="004C48D6" w:rsidRPr="0051365D" w:rsidRDefault="006B5C31" w:rsidP="004C48D6">
      <w:pPr>
        <w:autoSpaceDE w:val="0"/>
        <w:autoSpaceDN w:val="0"/>
        <w:adjustRightInd w:val="0"/>
        <w:spacing w:after="0" w:line="240" w:lineRule="auto"/>
      </w:pPr>
      <w:r w:rsidRPr="00D81EFB">
        <w:t xml:space="preserve">The Draft </w:t>
      </w:r>
      <w:r w:rsidR="00C62587" w:rsidRPr="00D81EFB">
        <w:t>Report</w:t>
      </w:r>
      <w:r w:rsidRPr="00D81EFB">
        <w:t xml:space="preserve"> </w:t>
      </w:r>
      <w:r w:rsidR="00C91E1B" w:rsidRPr="00D81EFB">
        <w:t xml:space="preserve">summarized the Evaluator’s assessment of the </w:t>
      </w:r>
      <w:r w:rsidR="00FD6892">
        <w:t>Home Energy Solutions and Home Energy Solutions Income Eligible Program</w:t>
      </w:r>
      <w:r w:rsidR="00C91E1B" w:rsidRPr="00D81EFB">
        <w:t xml:space="preserve">. Specifically, the study </w:t>
      </w:r>
      <w:r w:rsidR="00DC2A36" w:rsidRPr="00D81EFB">
        <w:t xml:space="preserve">had the following </w:t>
      </w:r>
      <w:r w:rsidR="00F0407F" w:rsidRPr="00D81EFB">
        <w:t>objectives:</w:t>
      </w:r>
      <w:r w:rsidR="00DC2A36" w:rsidRPr="00D81EFB">
        <w:t xml:space="preserve"> 1) </w:t>
      </w:r>
      <w:r w:rsidR="004428F7">
        <w:t xml:space="preserve">to </w:t>
      </w:r>
      <w:r w:rsidR="00DC2A36" w:rsidRPr="00D81EFB">
        <w:t xml:space="preserve">assess program delivery 2) </w:t>
      </w:r>
      <w:r w:rsidR="004428F7">
        <w:t xml:space="preserve">to </w:t>
      </w:r>
      <w:r w:rsidR="00DC2A36" w:rsidRPr="00D81EFB">
        <w:t>determine program impacts and 3)</w:t>
      </w:r>
      <w:r w:rsidR="004428F7">
        <w:t xml:space="preserve"> to</w:t>
      </w:r>
      <w:r w:rsidR="00DC2A36" w:rsidRPr="00D81EFB">
        <w:t xml:space="preserve"> understand program reach.</w:t>
      </w:r>
      <w:r w:rsidR="005B3D18" w:rsidRPr="00D81EFB">
        <w:t xml:space="preserve"> </w:t>
      </w:r>
    </w:p>
    <w:p w14:paraId="4F9F8114" w14:textId="4CD20FFC" w:rsidR="00CE4682" w:rsidRPr="007A0D3F" w:rsidRDefault="00CE4682" w:rsidP="004C48D6">
      <w:pPr>
        <w:autoSpaceDE w:val="0"/>
        <w:autoSpaceDN w:val="0"/>
        <w:adjustRightInd w:val="0"/>
        <w:spacing w:after="0" w:line="240" w:lineRule="auto"/>
      </w:pPr>
    </w:p>
    <w:p w14:paraId="36AD90D0" w14:textId="7029B11F" w:rsidR="00CE4682" w:rsidRPr="007A0D3F" w:rsidRDefault="000C7BD8" w:rsidP="004C48D6">
      <w:pPr>
        <w:autoSpaceDE w:val="0"/>
        <w:autoSpaceDN w:val="0"/>
        <w:adjustRightInd w:val="0"/>
        <w:spacing w:after="0" w:line="240" w:lineRule="auto"/>
      </w:pPr>
      <w:r w:rsidRPr="007A0D3F">
        <w:t xml:space="preserve">Eversource appreciates the Evaluator’s efforts to conduct a comprehensive evaluation of the Energize </w:t>
      </w:r>
      <w:r w:rsidRPr="0051365D">
        <w:t>Connecticut</w:t>
      </w:r>
      <w:r w:rsidR="0051365D" w:rsidRPr="0051365D">
        <w:t xml:space="preserve"> Home Energy Solutions and Home Energy Solutions Income Eligible programs, and for providing early responses to preliminary comments. Th</w:t>
      </w:r>
      <w:r w:rsidR="0051365D">
        <w:t xml:space="preserve">is </w:t>
      </w:r>
      <w:r w:rsidR="00AF7F23">
        <w:t>letter</w:t>
      </w:r>
      <w:r w:rsidR="0051365D">
        <w:t xml:space="preserve"> provides an overview of comments on the initial draft report as well as subsequent memo. </w:t>
      </w:r>
      <w:r w:rsidR="005F665C">
        <w:t>T</w:t>
      </w:r>
      <w:r w:rsidR="0051365D">
        <w:t xml:space="preserve">he comments </w:t>
      </w:r>
      <w:r w:rsidR="00E12A1D">
        <w:t>below</w:t>
      </w:r>
      <w:r w:rsidR="0051365D">
        <w:t xml:space="preserve"> are a subset of comments Eversource wishes to highlight</w:t>
      </w:r>
      <w:r w:rsidR="0020229E">
        <w:t xml:space="preserve">. </w:t>
      </w:r>
      <w:r w:rsidR="00FD6892">
        <w:t xml:space="preserve">The attached document </w:t>
      </w:r>
      <w:r w:rsidR="00F0407F">
        <w:t>“CT</w:t>
      </w:r>
      <w:r w:rsidR="00FD6892">
        <w:t>-Review- R1983 REVIEWDRAFTREPORT_13MAR2023_v2_Final for Submission” contains all comments</w:t>
      </w:r>
      <w:r w:rsidR="00A47904">
        <w:t xml:space="preserve"> on the draft report.</w:t>
      </w:r>
      <w:r w:rsidR="00FD6892">
        <w:t xml:space="preserve"> The </w:t>
      </w:r>
      <w:r w:rsidR="00A47904">
        <w:t xml:space="preserve">below </w:t>
      </w:r>
      <w:r w:rsidR="00FD6892">
        <w:t xml:space="preserve">list of comments on Memo #1 is comprehensive. </w:t>
      </w:r>
    </w:p>
    <w:p w14:paraId="02B37603" w14:textId="6F97848F" w:rsidR="00CE4682" w:rsidRPr="000C7BD8" w:rsidRDefault="00CE4682" w:rsidP="004C48D6">
      <w:pPr>
        <w:autoSpaceDE w:val="0"/>
        <w:autoSpaceDN w:val="0"/>
        <w:adjustRightInd w:val="0"/>
        <w:spacing w:after="0" w:line="240" w:lineRule="auto"/>
      </w:pPr>
    </w:p>
    <w:p w14:paraId="45DD90E5" w14:textId="7D59C4B7" w:rsidR="00093D1A" w:rsidRDefault="0051365D" w:rsidP="00227C95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51365D">
        <w:rPr>
          <w:u w:val="single"/>
        </w:rPr>
        <w:t xml:space="preserve">Comments on the Draft Report: </w:t>
      </w:r>
    </w:p>
    <w:p w14:paraId="77DC9F08" w14:textId="65CDEE2A" w:rsidR="00227C95" w:rsidRDefault="00227C95" w:rsidP="00227C95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05EC4871" w14:textId="2AC56885" w:rsidR="00227C95" w:rsidRPr="00227C95" w:rsidRDefault="00227C95" w:rsidP="00227C9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27C95">
        <w:rPr>
          <w:rFonts w:cstheme="minorHAnsi"/>
        </w:rPr>
        <w:t xml:space="preserve">Please clarify in the methodology section how solar homes and supplemental heating were treated in the billing analysis. </w:t>
      </w:r>
    </w:p>
    <w:p w14:paraId="234AC9A2" w14:textId="5769DF13" w:rsidR="00093D1A" w:rsidRPr="00227C95" w:rsidRDefault="00227C95" w:rsidP="00227C9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 xml:space="preserve">Regarding </w:t>
      </w:r>
      <w:r w:rsidR="00093D1A">
        <w:t xml:space="preserve">Recommendation 1b: </w:t>
      </w:r>
      <w:r w:rsidR="00093D1A" w:rsidRPr="00227C95">
        <w:rPr>
          <w:rFonts w:cstheme="minorHAnsi"/>
        </w:rPr>
        <w:t xml:space="preserve">Targeting larger homes with high preprogram usage could potentially skew the equitability of the program if implemented incorrectly. Would it be possible for the recommendation to find a way to focus on more strategically targeting </w:t>
      </w:r>
      <w:r w:rsidR="00093D1A" w:rsidRPr="00227C95">
        <w:rPr>
          <w:rFonts w:cstheme="minorHAnsi"/>
        </w:rPr>
        <w:lastRenderedPageBreak/>
        <w:t xml:space="preserve">inefficient homes using energy usage/ square foot, or set thresholds for those who can get insulation based on </w:t>
      </w:r>
      <w:r w:rsidRPr="00227C95">
        <w:rPr>
          <w:rFonts w:cstheme="minorHAnsi"/>
        </w:rPr>
        <w:t>R</w:t>
      </w:r>
      <w:r w:rsidR="00093D1A" w:rsidRPr="00227C95">
        <w:rPr>
          <w:rFonts w:cstheme="minorHAnsi"/>
        </w:rPr>
        <w:t xml:space="preserve">-value?  </w:t>
      </w:r>
    </w:p>
    <w:p w14:paraId="289BA04F" w14:textId="3D1B0385" w:rsidR="00227C95" w:rsidRPr="00227C95" w:rsidRDefault="00227C95" w:rsidP="00227C9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27C95">
        <w:rPr>
          <w:rFonts w:cstheme="minorHAnsi"/>
        </w:rPr>
        <w:t xml:space="preserve">Regarding Recommendation 1c: The methodology and approach for inspection varies between the utilities. Is it possible to see a breakdown of savings between the utilities for inspected vs uninspected sites? </w:t>
      </w:r>
    </w:p>
    <w:p w14:paraId="1858FEDC" w14:textId="3F1CC5FD" w:rsidR="00093D1A" w:rsidRPr="002715C0" w:rsidRDefault="00093D1A" w:rsidP="00227C9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27C95">
        <w:rPr>
          <w:rFonts w:cstheme="minorHAnsi"/>
        </w:rPr>
        <w:t xml:space="preserve">The study cites repeat participation as a potential driver of lower savings values. Did the </w:t>
      </w:r>
      <w:r w:rsidR="00227C95" w:rsidRPr="00227C95">
        <w:rPr>
          <w:rFonts w:cstheme="minorHAnsi"/>
        </w:rPr>
        <w:t>analysis</w:t>
      </w:r>
      <w:r w:rsidRPr="00227C95">
        <w:rPr>
          <w:rFonts w:cstheme="minorHAnsi"/>
        </w:rPr>
        <w:t xml:space="preserve"> identify the extent of repeat participation</w:t>
      </w:r>
      <w:r w:rsidR="00227C95" w:rsidRPr="00227C95">
        <w:rPr>
          <w:rFonts w:cstheme="minorHAnsi"/>
        </w:rPr>
        <w:t xml:space="preserve"> in the program?</w:t>
      </w:r>
      <w:r w:rsidR="00CC473F">
        <w:rPr>
          <w:rFonts w:cstheme="minorHAnsi"/>
        </w:rPr>
        <w:t xml:space="preserve"> Is</w:t>
      </w:r>
      <w:r w:rsidRPr="00227C95">
        <w:rPr>
          <w:rFonts w:cstheme="minorHAnsi"/>
        </w:rPr>
        <w:t xml:space="preserve"> there any way to </w:t>
      </w:r>
      <w:r w:rsidRPr="002715C0">
        <w:rPr>
          <w:rFonts w:cstheme="minorHAnsi"/>
        </w:rPr>
        <w:t>compare savings of a repeat customer to savings of a new participant?</w:t>
      </w:r>
    </w:p>
    <w:p w14:paraId="214635C8" w14:textId="05B93813" w:rsidR="007E591E" w:rsidRPr="004731AE" w:rsidRDefault="00377ABC" w:rsidP="00C553EB">
      <w:pPr>
        <w:pStyle w:val="ListParagraph"/>
        <w:numPr>
          <w:ilvl w:val="1"/>
          <w:numId w:val="9"/>
        </w:numPr>
        <w:spacing w:after="0"/>
      </w:pPr>
      <w:r w:rsidRPr="002715C0">
        <w:t xml:space="preserve">The study </w:t>
      </w:r>
      <w:r w:rsidR="003728FD" w:rsidRPr="002715C0">
        <w:t xml:space="preserve">noted declining pre-program natural gas consumption </w:t>
      </w:r>
      <w:r w:rsidR="001650BD" w:rsidRPr="002715C0">
        <w:t xml:space="preserve">by 20%-30% </w:t>
      </w:r>
      <w:r w:rsidR="003728FD" w:rsidRPr="002715C0">
        <w:t>for more recent cohorts</w:t>
      </w:r>
      <w:r w:rsidR="001650BD" w:rsidRPr="002715C0">
        <w:t xml:space="preserve"> (</w:t>
      </w:r>
      <w:r w:rsidR="00F0407F" w:rsidRPr="002715C0">
        <w:t>i.e.,</w:t>
      </w:r>
      <w:r w:rsidR="001553FA" w:rsidRPr="002715C0">
        <w:t xml:space="preserve"> </w:t>
      </w:r>
      <w:r w:rsidR="001650BD" w:rsidRPr="002715C0">
        <w:t>2017/2018 vs 2019)</w:t>
      </w:r>
      <w:r w:rsidR="003728FD" w:rsidRPr="002715C0">
        <w:t>.</w:t>
      </w:r>
      <w:r w:rsidR="00056559">
        <w:t xml:space="preserve"> </w:t>
      </w:r>
      <w:r w:rsidR="001553FA" w:rsidRPr="002715C0">
        <w:t xml:space="preserve">This seems to imply that </w:t>
      </w:r>
      <w:r w:rsidR="003728FD" w:rsidRPr="002715C0">
        <w:t xml:space="preserve">2019 participants </w:t>
      </w:r>
      <w:r w:rsidR="0037024A" w:rsidRPr="002715C0">
        <w:t xml:space="preserve">(treatment group) </w:t>
      </w:r>
      <w:r w:rsidR="003728FD" w:rsidRPr="002715C0">
        <w:t xml:space="preserve">and the </w:t>
      </w:r>
      <w:r w:rsidR="00056559">
        <w:t xml:space="preserve">future </w:t>
      </w:r>
      <w:r w:rsidR="003728FD" w:rsidRPr="002715C0">
        <w:t>participant</w:t>
      </w:r>
      <w:r w:rsidR="00056559">
        <w:t xml:space="preserve"> group</w:t>
      </w:r>
      <w:r w:rsidR="003728FD" w:rsidRPr="002715C0">
        <w:t xml:space="preserve"> used as the control group </w:t>
      </w:r>
      <w:r w:rsidR="001650BD" w:rsidRPr="002715C0">
        <w:t>could be</w:t>
      </w:r>
      <w:r w:rsidR="003728FD" w:rsidRPr="002715C0">
        <w:t xml:space="preserve"> different.</w:t>
      </w:r>
      <w:r w:rsidR="001553FA" w:rsidRPr="002715C0">
        <w:t xml:space="preserve"> </w:t>
      </w:r>
      <w:r w:rsidR="004428F7">
        <w:t>Please</w:t>
      </w:r>
      <w:r w:rsidR="001553FA" w:rsidRPr="002715C0">
        <w:t xml:space="preserve"> </w:t>
      </w:r>
      <w:bookmarkStart w:id="0" w:name="_Hlk132654264"/>
      <w:r w:rsidR="001553FA" w:rsidRPr="002715C0">
        <w:t>show comparison of the pre-program consumption of the treatment and control group and</w:t>
      </w:r>
      <w:r w:rsidR="003728FD" w:rsidRPr="002715C0">
        <w:t xml:space="preserve"> </w:t>
      </w:r>
      <w:r w:rsidR="001553FA" w:rsidRPr="002715C0">
        <w:t xml:space="preserve">other </w:t>
      </w:r>
      <w:r w:rsidR="0037024A" w:rsidRPr="002715C0">
        <w:t>analysis</w:t>
      </w:r>
      <w:r w:rsidR="001553FA" w:rsidRPr="002715C0">
        <w:t>/</w:t>
      </w:r>
      <w:r w:rsidR="0037024A" w:rsidRPr="002715C0">
        <w:t xml:space="preserve">equivalency checks employed to ensure </w:t>
      </w:r>
      <w:r w:rsidR="00056559">
        <w:t>a</w:t>
      </w:r>
      <w:r w:rsidR="001553FA" w:rsidRPr="002715C0">
        <w:t xml:space="preserve"> </w:t>
      </w:r>
      <w:r w:rsidR="0037024A" w:rsidRPr="002715C0">
        <w:t>valid</w:t>
      </w:r>
      <w:r w:rsidR="00056559">
        <w:t xml:space="preserve"> </w:t>
      </w:r>
      <w:r w:rsidR="0037024A" w:rsidRPr="002715C0">
        <w:t xml:space="preserve">control group. </w:t>
      </w:r>
      <w:bookmarkEnd w:id="0"/>
    </w:p>
    <w:p w14:paraId="083C9C6F" w14:textId="5BAC9672" w:rsidR="00E12A1D" w:rsidRPr="00CA4D5D" w:rsidRDefault="00DC2A36" w:rsidP="00C553EB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Regarding Recommendation 2A</w:t>
      </w:r>
      <w:r w:rsidR="001553F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553FA">
        <w:rPr>
          <w:rFonts w:cstheme="minorHAnsi"/>
        </w:rPr>
        <w:t>s</w:t>
      </w:r>
      <w:r>
        <w:rPr>
          <w:rFonts w:cstheme="minorHAnsi"/>
        </w:rPr>
        <w:t xml:space="preserve">hould the incentives be tied to the conversion rates rather than the recommendation rates to avoid encouraging too many recommendations where </w:t>
      </w:r>
      <w:r w:rsidRPr="00CA4D5D">
        <w:rPr>
          <w:rFonts w:cstheme="minorHAnsi"/>
        </w:rPr>
        <w:t>they are not valuable?</w:t>
      </w:r>
    </w:p>
    <w:p w14:paraId="2449633C" w14:textId="35A4A8CE" w:rsidR="009D6E22" w:rsidRPr="00CA4D5D" w:rsidRDefault="003A0611" w:rsidP="009D6E2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715C0">
        <w:rPr>
          <w:rFonts w:cstheme="minorHAnsi"/>
        </w:rPr>
        <w:t xml:space="preserve">It would be helpful to include the final recommended realization rates for the 2024 PSD update (Appendix G Table 78) in the Executive Summary instead of Table 3 under Key Findings and Recommendations which pulls from Appendix G Table 77. </w:t>
      </w:r>
    </w:p>
    <w:p w14:paraId="0BBB1A5B" w14:textId="0D15CAA2" w:rsidR="009D6E22" w:rsidRPr="009D6E22" w:rsidRDefault="009D6E22" w:rsidP="009D6E2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CA4D5D">
        <w:rPr>
          <w:rFonts w:cstheme="minorHAnsi"/>
        </w:rPr>
        <w:t xml:space="preserve">Please include the regression results </w:t>
      </w:r>
      <w:r w:rsidR="001650BD" w:rsidRPr="00CA4D5D">
        <w:rPr>
          <w:rFonts w:cstheme="minorHAnsi"/>
        </w:rPr>
        <w:t xml:space="preserve">from the billing analysis </w:t>
      </w:r>
      <w:r w:rsidRPr="00CA4D5D">
        <w:rPr>
          <w:rFonts w:cstheme="minorHAnsi"/>
        </w:rPr>
        <w:t xml:space="preserve">as an </w:t>
      </w:r>
      <w:r w:rsidR="001650BD" w:rsidRPr="00CA4D5D">
        <w:rPr>
          <w:rFonts w:cstheme="minorHAnsi"/>
        </w:rPr>
        <w:t>A</w:t>
      </w:r>
      <w:r w:rsidRPr="00CA4D5D">
        <w:rPr>
          <w:rFonts w:cstheme="minorHAnsi"/>
        </w:rPr>
        <w:t>ppendix or</w:t>
      </w:r>
      <w:r>
        <w:rPr>
          <w:rFonts w:cstheme="minorHAnsi"/>
        </w:rPr>
        <w:t xml:space="preserve"> </w:t>
      </w:r>
      <w:r w:rsidR="00CA4D5D">
        <w:rPr>
          <w:rFonts w:cstheme="minorHAnsi"/>
        </w:rPr>
        <w:t>add</w:t>
      </w:r>
      <w:r w:rsidR="001650BD">
        <w:rPr>
          <w:rFonts w:cstheme="minorHAnsi"/>
        </w:rPr>
        <w:t xml:space="preserve"> these result</w:t>
      </w:r>
      <w:r w:rsidR="00335272">
        <w:rPr>
          <w:rFonts w:cstheme="minorHAnsi"/>
        </w:rPr>
        <w:t>s</w:t>
      </w:r>
      <w:r w:rsidR="001650BD">
        <w:rPr>
          <w:rFonts w:cstheme="minorHAnsi"/>
        </w:rPr>
        <w:t xml:space="preserve"> </w:t>
      </w:r>
      <w:r>
        <w:rPr>
          <w:rFonts w:cstheme="minorHAnsi"/>
        </w:rPr>
        <w:t xml:space="preserve">to the </w:t>
      </w:r>
      <w:r w:rsidR="003A0611">
        <w:rPr>
          <w:rFonts w:cstheme="minorHAnsi"/>
        </w:rPr>
        <w:t>calculation workbook</w:t>
      </w:r>
      <w:r>
        <w:rPr>
          <w:rFonts w:cstheme="minorHAnsi"/>
        </w:rPr>
        <w:t xml:space="preserve">. </w:t>
      </w:r>
    </w:p>
    <w:p w14:paraId="11F7A7D0" w14:textId="64ED817F" w:rsidR="0051365D" w:rsidRDefault="0051365D" w:rsidP="00C91018">
      <w:pPr>
        <w:autoSpaceDE w:val="0"/>
        <w:autoSpaceDN w:val="0"/>
        <w:adjustRightInd w:val="0"/>
        <w:spacing w:after="0" w:line="240" w:lineRule="auto"/>
      </w:pPr>
    </w:p>
    <w:p w14:paraId="1D0F8966" w14:textId="58F016FD" w:rsidR="004E42FF" w:rsidRPr="004E42FF" w:rsidRDefault="0051365D" w:rsidP="00C553EB">
      <w:pPr>
        <w:spacing w:after="0"/>
        <w:rPr>
          <w:u w:val="single"/>
        </w:rPr>
      </w:pPr>
      <w:r w:rsidRPr="00287D2B">
        <w:rPr>
          <w:u w:val="single"/>
        </w:rPr>
        <w:t>Comments on</w:t>
      </w:r>
      <w:r w:rsidR="00F71F02">
        <w:rPr>
          <w:u w:val="single"/>
        </w:rPr>
        <w:t xml:space="preserve"> Memo #1:</w:t>
      </w:r>
    </w:p>
    <w:p w14:paraId="1290D8B0" w14:textId="77777777" w:rsidR="003F3369" w:rsidRPr="003F3369" w:rsidRDefault="00C553EB" w:rsidP="00E153BF">
      <w:r w:rsidRPr="00E153BF">
        <w:rPr>
          <w:rFonts w:cstheme="minorHAnsi"/>
        </w:rPr>
        <w:t xml:space="preserve">Thank you for </w:t>
      </w:r>
      <w:r w:rsidR="00F71F02" w:rsidRPr="00E153BF">
        <w:rPr>
          <w:rFonts w:cstheme="minorHAnsi"/>
        </w:rPr>
        <w:t xml:space="preserve">investigating the issues we raised in our preliminary comments. </w:t>
      </w:r>
      <w:r w:rsidR="003F3369" w:rsidRPr="00E153BF">
        <w:rPr>
          <w:rFonts w:cstheme="minorHAnsi"/>
        </w:rPr>
        <w:t>We summarize our comments and follow-up questions below:</w:t>
      </w:r>
    </w:p>
    <w:p w14:paraId="456B4F4E" w14:textId="713C3CA4" w:rsidR="003F3369" w:rsidRPr="003F3369" w:rsidRDefault="00F71F02" w:rsidP="002715C0">
      <w:pPr>
        <w:pStyle w:val="ListParagraph"/>
        <w:numPr>
          <w:ilvl w:val="1"/>
          <w:numId w:val="9"/>
        </w:numPr>
      </w:pPr>
      <w:r w:rsidRPr="00C23881">
        <w:rPr>
          <w:rFonts w:cstheme="minorHAnsi"/>
        </w:rPr>
        <w:t>The memo states “</w:t>
      </w:r>
      <w:r w:rsidRPr="002715C0">
        <w:rPr>
          <w:rFonts w:cstheme="minorHAnsi"/>
          <w:i/>
          <w:iCs/>
        </w:rPr>
        <w:t>The overall revised realization rate (RR) results have only limited overall impact of program-level gross realization rates (RR).  This is because they were revised downward or remained the same for the vast majority of participants (~80%) and were revised upward for only ~20% of the participants</w:t>
      </w:r>
      <w:r w:rsidRPr="002715C0">
        <w:rPr>
          <w:rFonts w:cstheme="minorHAnsi"/>
        </w:rPr>
        <w:t>.”</w:t>
      </w:r>
      <w:r w:rsidR="00C23881" w:rsidRPr="002715C0">
        <w:rPr>
          <w:rFonts w:cstheme="minorHAnsi"/>
        </w:rPr>
        <w:t xml:space="preserve"> </w:t>
      </w:r>
      <w:r w:rsidR="001D0339">
        <w:rPr>
          <w:rFonts w:cstheme="minorHAnsi"/>
        </w:rPr>
        <w:t xml:space="preserve">Please </w:t>
      </w:r>
      <w:r w:rsidR="005D0B2E">
        <w:rPr>
          <w:rFonts w:cstheme="minorHAnsi"/>
        </w:rPr>
        <w:t>update</w:t>
      </w:r>
      <w:r w:rsidR="001D0339">
        <w:rPr>
          <w:rFonts w:cstheme="minorHAnsi"/>
        </w:rPr>
        <w:t xml:space="preserve"> the revised </w:t>
      </w:r>
      <w:r w:rsidR="001D0339" w:rsidRPr="008D1122">
        <w:rPr>
          <w:rFonts w:cstheme="minorHAnsi"/>
        </w:rPr>
        <w:t xml:space="preserve">program-level gross realization rates </w:t>
      </w:r>
      <w:r w:rsidR="001D0339">
        <w:rPr>
          <w:rFonts w:cstheme="minorHAnsi"/>
        </w:rPr>
        <w:t>for</w:t>
      </w:r>
      <w:r w:rsidR="001D0339" w:rsidRPr="008D1122">
        <w:rPr>
          <w:rFonts w:cstheme="minorHAnsi"/>
        </w:rPr>
        <w:t xml:space="preserve"> </w:t>
      </w:r>
      <w:r w:rsidR="001D0339">
        <w:rPr>
          <w:rFonts w:cstheme="minorHAnsi"/>
        </w:rPr>
        <w:t>2019</w:t>
      </w:r>
      <w:r w:rsidR="005D0B2E">
        <w:rPr>
          <w:rFonts w:cstheme="minorHAnsi"/>
        </w:rPr>
        <w:t xml:space="preserve"> in the report</w:t>
      </w:r>
      <w:r w:rsidR="001D0339">
        <w:rPr>
          <w:rFonts w:cstheme="minorHAnsi"/>
        </w:rPr>
        <w:t xml:space="preserve">. </w:t>
      </w:r>
      <w:r w:rsidR="00C23881" w:rsidRPr="00984B43">
        <w:rPr>
          <w:rFonts w:cstheme="minorHAnsi"/>
        </w:rPr>
        <w:t xml:space="preserve">While the impact </w:t>
      </w:r>
      <w:r w:rsidR="001D0339">
        <w:rPr>
          <w:rFonts w:cstheme="minorHAnsi"/>
        </w:rPr>
        <w:t xml:space="preserve">is considered </w:t>
      </w:r>
      <w:r w:rsidR="005D0B2E">
        <w:rPr>
          <w:rFonts w:cstheme="minorHAnsi"/>
        </w:rPr>
        <w:t>by the study team as</w:t>
      </w:r>
      <w:r w:rsidR="001D0339">
        <w:rPr>
          <w:rFonts w:cstheme="minorHAnsi"/>
        </w:rPr>
        <w:t xml:space="preserve"> </w:t>
      </w:r>
      <w:r w:rsidR="00170450">
        <w:rPr>
          <w:rFonts w:cstheme="minorHAnsi"/>
        </w:rPr>
        <w:t>limited</w:t>
      </w:r>
      <w:r w:rsidR="005D0B2E">
        <w:rPr>
          <w:rFonts w:cstheme="minorHAnsi"/>
        </w:rPr>
        <w:t xml:space="preserve"> based on measure mix in 2</w:t>
      </w:r>
      <w:r w:rsidR="003A0611">
        <w:rPr>
          <w:rFonts w:cstheme="minorHAnsi"/>
        </w:rPr>
        <w:t>019</w:t>
      </w:r>
      <w:r w:rsidR="00170450">
        <w:rPr>
          <w:rFonts w:cstheme="minorHAnsi"/>
        </w:rPr>
        <w:t>,</w:t>
      </w:r>
      <w:r w:rsidR="00C23881" w:rsidRPr="00984B43">
        <w:rPr>
          <w:rFonts w:cstheme="minorHAnsi"/>
        </w:rPr>
        <w:t xml:space="preserve"> it may not be the case for future years</w:t>
      </w:r>
      <w:r w:rsidR="00C23881">
        <w:rPr>
          <w:rFonts w:cstheme="minorHAnsi"/>
        </w:rPr>
        <w:t xml:space="preserve"> </w:t>
      </w:r>
      <w:r w:rsidR="00C23881" w:rsidRPr="00C47366">
        <w:rPr>
          <w:rFonts w:cstheme="minorHAnsi"/>
        </w:rPr>
        <w:t>as the program continues to encourage a larger percentage of participants to act on their vendor’s recommendations</w:t>
      </w:r>
      <w:r w:rsidR="003E1880">
        <w:rPr>
          <w:rFonts w:cstheme="minorHAnsi"/>
        </w:rPr>
        <w:t xml:space="preserve"> </w:t>
      </w:r>
      <w:r w:rsidR="00F0407F">
        <w:rPr>
          <w:rFonts w:cstheme="minorHAnsi"/>
        </w:rPr>
        <w:t>and</w:t>
      </w:r>
      <w:r w:rsidR="003E1880">
        <w:rPr>
          <w:rFonts w:cstheme="minorHAnsi"/>
        </w:rPr>
        <w:t xml:space="preserve"> </w:t>
      </w:r>
      <w:r w:rsidR="00C23881">
        <w:rPr>
          <w:rFonts w:cstheme="minorHAnsi"/>
        </w:rPr>
        <w:t>from a cost-effectiveness standpoint</w:t>
      </w:r>
      <w:r w:rsidR="001D0339">
        <w:rPr>
          <w:rFonts w:cstheme="minorHAnsi"/>
        </w:rPr>
        <w:t>.</w:t>
      </w:r>
      <w:r w:rsidR="00C23881">
        <w:rPr>
          <w:rFonts w:cstheme="minorHAnsi"/>
        </w:rPr>
        <w:t xml:space="preserve"> </w:t>
      </w:r>
    </w:p>
    <w:p w14:paraId="56FC53B2" w14:textId="62489C22" w:rsidR="00FE1999" w:rsidRDefault="00C553EB" w:rsidP="003F3369">
      <w:pPr>
        <w:pStyle w:val="ListParagraph"/>
        <w:numPr>
          <w:ilvl w:val="1"/>
          <w:numId w:val="9"/>
        </w:numPr>
      </w:pPr>
      <w:r>
        <w:t>It would be helpful if</w:t>
      </w:r>
      <w:r w:rsidR="00FE1999">
        <w:t xml:space="preserve"> the</w:t>
      </w:r>
      <w:r>
        <w:t xml:space="preserve"> </w:t>
      </w:r>
      <w:r w:rsidR="00FE1999">
        <w:t>report included a</w:t>
      </w:r>
      <w:r w:rsidR="00093D1A">
        <w:t xml:space="preserve"> narrative on why the </w:t>
      </w:r>
      <w:r w:rsidR="009D4CD8">
        <w:t>ex-ante</w:t>
      </w:r>
      <w:r w:rsidR="00093D1A">
        <w:t xml:space="preserve"> values for air sealing &amp; insulation </w:t>
      </w:r>
      <w:r>
        <w:t xml:space="preserve">for HES and HES IE </w:t>
      </w:r>
      <w:r w:rsidR="00FE1999">
        <w:t xml:space="preserve">went through the following </w:t>
      </w:r>
      <w:r w:rsidR="00093D1A">
        <w:t>change</w:t>
      </w:r>
      <w:r w:rsidR="00FE1999">
        <w:t>s:</w:t>
      </w:r>
      <w:r w:rsidR="00093D1A">
        <w:t xml:space="preserve"> </w:t>
      </w:r>
    </w:p>
    <w:p w14:paraId="5FC42B15" w14:textId="169ABE1D" w:rsidR="00FE1999" w:rsidRDefault="00FE1999" w:rsidP="00FE1999">
      <w:pPr>
        <w:pStyle w:val="ListParagraph"/>
        <w:numPr>
          <w:ilvl w:val="2"/>
          <w:numId w:val="9"/>
        </w:numPr>
      </w:pPr>
      <w:r>
        <w:t xml:space="preserve">HES: </w:t>
      </w:r>
      <w:r w:rsidR="007E591E">
        <w:t>264</w:t>
      </w:r>
      <w:r>
        <w:t xml:space="preserve"> therms</w:t>
      </w:r>
      <w:r w:rsidR="00C553EB">
        <w:t xml:space="preserve"> and</w:t>
      </w:r>
      <w:r>
        <w:t xml:space="preserve"> HES IE: </w:t>
      </w:r>
      <w:r w:rsidR="00C553EB">
        <w:t xml:space="preserve"> </w:t>
      </w:r>
      <w:r w:rsidR="007E591E">
        <w:t>360</w:t>
      </w:r>
      <w:r>
        <w:t xml:space="preserve"> therms</w:t>
      </w:r>
      <w:r w:rsidR="007E591E">
        <w:t xml:space="preserve"> in the initial findings memo</w:t>
      </w:r>
      <w:r>
        <w:t xml:space="preserve"> dated September 22, 2022</w:t>
      </w:r>
    </w:p>
    <w:p w14:paraId="7218545C" w14:textId="487B8EE5" w:rsidR="00FE1999" w:rsidRDefault="00FE1999" w:rsidP="00FE1999">
      <w:pPr>
        <w:pStyle w:val="ListParagraph"/>
        <w:numPr>
          <w:ilvl w:val="2"/>
          <w:numId w:val="9"/>
        </w:numPr>
      </w:pPr>
      <w:r>
        <w:t>HES:</w:t>
      </w:r>
      <w:r w:rsidR="00C553EB">
        <w:t xml:space="preserve"> </w:t>
      </w:r>
      <w:r w:rsidR="00093D1A">
        <w:t>269</w:t>
      </w:r>
      <w:r>
        <w:t xml:space="preserve"> ccf</w:t>
      </w:r>
      <w:r w:rsidR="00C553EB">
        <w:t xml:space="preserve"> and </w:t>
      </w:r>
      <w:r>
        <w:t xml:space="preserve">HES IE: </w:t>
      </w:r>
      <w:r w:rsidR="00093D1A">
        <w:t>273</w:t>
      </w:r>
      <w:r>
        <w:t xml:space="preserve"> ccf</w:t>
      </w:r>
      <w:r w:rsidR="00093D1A">
        <w:t xml:space="preserve"> in the </w:t>
      </w:r>
      <w:r>
        <w:t xml:space="preserve">draft </w:t>
      </w:r>
      <w:r w:rsidR="00093D1A">
        <w:t xml:space="preserve">findings presentation on </w:t>
      </w:r>
      <w:r>
        <w:t>February 1, 2023</w:t>
      </w:r>
      <w:r w:rsidR="00093D1A">
        <w:t xml:space="preserve"> </w:t>
      </w:r>
    </w:p>
    <w:p w14:paraId="275699D3" w14:textId="450607AB" w:rsidR="00FE1999" w:rsidRDefault="00FE1999" w:rsidP="00FE1999">
      <w:pPr>
        <w:pStyle w:val="ListParagraph"/>
        <w:numPr>
          <w:ilvl w:val="2"/>
          <w:numId w:val="9"/>
        </w:numPr>
      </w:pPr>
      <w:r>
        <w:t>HES:</w:t>
      </w:r>
      <w:r w:rsidR="00093D1A">
        <w:t xml:space="preserve"> 415</w:t>
      </w:r>
      <w:r w:rsidR="00C553EB">
        <w:t xml:space="preserve"> </w:t>
      </w:r>
      <w:r>
        <w:t xml:space="preserve">ccf </w:t>
      </w:r>
      <w:r w:rsidR="00C553EB">
        <w:t>and</w:t>
      </w:r>
      <w:r w:rsidR="00335272">
        <w:t xml:space="preserve"> </w:t>
      </w:r>
      <w:r>
        <w:t xml:space="preserve">HES IE: </w:t>
      </w:r>
      <w:r w:rsidR="007E591E">
        <w:t>303</w:t>
      </w:r>
      <w:r>
        <w:t xml:space="preserve"> ccf</w:t>
      </w:r>
      <w:r w:rsidR="00093D1A">
        <w:t xml:space="preserve"> in the </w:t>
      </w:r>
      <w:r>
        <w:t>D</w:t>
      </w:r>
      <w:r w:rsidR="00093D1A">
        <w:t xml:space="preserve">raft </w:t>
      </w:r>
      <w:r>
        <w:t>R</w:t>
      </w:r>
      <w:r w:rsidR="00093D1A">
        <w:t>eport</w:t>
      </w:r>
    </w:p>
    <w:p w14:paraId="58FD9DEE" w14:textId="2046B6C1" w:rsidR="00093D1A" w:rsidRDefault="00FE1999" w:rsidP="002715C0">
      <w:pPr>
        <w:pStyle w:val="ListParagraph"/>
        <w:numPr>
          <w:ilvl w:val="2"/>
          <w:numId w:val="9"/>
        </w:numPr>
      </w:pPr>
      <w:r>
        <w:t>HES:</w:t>
      </w:r>
      <w:r w:rsidR="00093D1A">
        <w:t xml:space="preserve"> </w:t>
      </w:r>
      <w:r w:rsidR="007E591E">
        <w:t>191</w:t>
      </w:r>
      <w:r>
        <w:t xml:space="preserve"> ccf</w:t>
      </w:r>
      <w:r w:rsidR="00C553EB">
        <w:t xml:space="preserve"> and</w:t>
      </w:r>
      <w:r w:rsidR="007E591E">
        <w:t xml:space="preserve"> </w:t>
      </w:r>
      <w:r>
        <w:t xml:space="preserve">HES IE: </w:t>
      </w:r>
      <w:r w:rsidR="00093D1A">
        <w:t xml:space="preserve">238 </w:t>
      </w:r>
      <w:r>
        <w:t xml:space="preserve">ccf </w:t>
      </w:r>
      <w:r w:rsidR="00093D1A">
        <w:t xml:space="preserve">in </w:t>
      </w:r>
      <w:r>
        <w:t>Memo # 1</w:t>
      </w:r>
      <w:r w:rsidR="00093D1A">
        <w:t xml:space="preserve">. </w:t>
      </w:r>
    </w:p>
    <w:p w14:paraId="6729E860" w14:textId="165B92DA" w:rsidR="008A7F99" w:rsidRPr="00E153BF" w:rsidRDefault="00335272" w:rsidP="00E153BF">
      <w:pPr>
        <w:pStyle w:val="ListParagraph"/>
        <w:numPr>
          <w:ilvl w:val="1"/>
          <w:numId w:val="9"/>
        </w:numPr>
      </w:pPr>
      <w:r>
        <w:t xml:space="preserve">Do the updated ex-ante calculations for air sealing and insulation now include a weighted average according to the savings distribution between Eversource and UI? </w:t>
      </w:r>
      <w:r w:rsidR="008A7F99">
        <w:t xml:space="preserve">Please include a </w:t>
      </w:r>
      <w:r w:rsidR="008A7F99">
        <w:lastRenderedPageBreak/>
        <w:t xml:space="preserve">narrative on </w:t>
      </w:r>
      <w:r w:rsidR="00190CCB">
        <w:t xml:space="preserve">why the ex-ante </w:t>
      </w:r>
      <w:r>
        <w:t>savings values for air sealing</w:t>
      </w:r>
      <w:r w:rsidR="00190CCB">
        <w:t xml:space="preserve"> went through the following chang</w:t>
      </w:r>
      <w:r w:rsidR="005D0B2E">
        <w:t>e</w:t>
      </w:r>
      <w:r w:rsidR="00190CCB">
        <w:t>s</w:t>
      </w:r>
      <w:r w:rsidR="008A7F99">
        <w:t xml:space="preserve">: </w:t>
      </w:r>
    </w:p>
    <w:p w14:paraId="6333F102" w14:textId="49E33965" w:rsidR="008A7F99" w:rsidRPr="00E153BF" w:rsidRDefault="008A7F99" w:rsidP="00E153BF">
      <w:pPr>
        <w:pStyle w:val="ListParagraph"/>
        <w:numPr>
          <w:ilvl w:val="2"/>
          <w:numId w:val="9"/>
        </w:numPr>
      </w:pPr>
      <w:r w:rsidRPr="008A7F99">
        <w:t xml:space="preserve">HES: </w:t>
      </w:r>
      <w:r>
        <w:t>69 ccf in the Draft Report to 100 ccf in the revised ex-ante calculation and reported tracking savings value</w:t>
      </w:r>
    </w:p>
    <w:p w14:paraId="5CD64939" w14:textId="01E25718" w:rsidR="00335272" w:rsidRPr="00E153BF" w:rsidRDefault="008A7F99" w:rsidP="00E153BF">
      <w:pPr>
        <w:pStyle w:val="ListParagraph"/>
        <w:numPr>
          <w:ilvl w:val="2"/>
          <w:numId w:val="9"/>
        </w:numPr>
      </w:pPr>
      <w:r>
        <w:t xml:space="preserve">HES IE: </w:t>
      </w:r>
      <w:r w:rsidR="00335272">
        <w:t>71</w:t>
      </w:r>
      <w:r w:rsidR="00CA4D5D">
        <w:t xml:space="preserve"> ccf in the Draft Report</w:t>
      </w:r>
      <w:r w:rsidR="00335272">
        <w:t xml:space="preserve"> to 75 </w:t>
      </w:r>
      <w:r w:rsidR="00CA4D5D">
        <w:t xml:space="preserve">ccf in the revised ex-ante calculation </w:t>
      </w:r>
      <w:r w:rsidR="00335272">
        <w:t>to 106</w:t>
      </w:r>
      <w:r w:rsidR="00CA4D5D">
        <w:t xml:space="preserve"> ccf in t</w:t>
      </w:r>
      <w:r w:rsidR="00D81EFB">
        <w:t>he reported tracking savings value</w:t>
      </w:r>
      <w:r w:rsidR="00335272">
        <w:t xml:space="preserve"> </w:t>
      </w:r>
    </w:p>
    <w:p w14:paraId="0D35FA9C" w14:textId="1E1B8B0A" w:rsidR="00227C95" w:rsidRDefault="00227C95" w:rsidP="00E153BF">
      <w:pPr>
        <w:pStyle w:val="ListParagraph"/>
        <w:numPr>
          <w:ilvl w:val="1"/>
          <w:numId w:val="9"/>
        </w:numPr>
      </w:pPr>
      <w:r>
        <w:t>Regarding the</w:t>
      </w:r>
      <w:r w:rsidR="00C553EB">
        <w:t xml:space="preserve"> newly dubbed</w:t>
      </w:r>
      <w:r>
        <w:t xml:space="preserve"> </w:t>
      </w:r>
      <w:r w:rsidR="00C553EB">
        <w:t>A</w:t>
      </w:r>
      <w:r>
        <w:t xml:space="preserve">chieved </w:t>
      </w:r>
      <w:r w:rsidR="00C553EB">
        <w:t>S</w:t>
      </w:r>
      <w:r>
        <w:t xml:space="preserve">avings </w:t>
      </w:r>
      <w:r w:rsidR="00C553EB">
        <w:t>R</w:t>
      </w:r>
      <w:r>
        <w:t xml:space="preserve">ate; </w:t>
      </w:r>
      <w:r w:rsidR="00170450">
        <w:t>w</w:t>
      </w:r>
      <w:r>
        <w:t xml:space="preserve">e are currently applying 50% </w:t>
      </w:r>
      <w:r w:rsidR="00170450">
        <w:t xml:space="preserve">realization rates </w:t>
      </w:r>
      <w:r>
        <w:t xml:space="preserve">for air sealing and insulation. Would it be beneficial to </w:t>
      </w:r>
      <w:r w:rsidR="00C553EB">
        <w:t xml:space="preserve">also </w:t>
      </w:r>
      <w:r>
        <w:t>use the 50% realization rate for the “Achieved Savings Rate?” for a more current look at the effect on program savings?</w:t>
      </w:r>
    </w:p>
    <w:p w14:paraId="222F90E4" w14:textId="685A0147" w:rsidR="00287D2B" w:rsidRPr="00093D1A" w:rsidRDefault="00287D2B" w:rsidP="00040F48">
      <w:pPr>
        <w:spacing w:after="0"/>
        <w:rPr>
          <w:u w:val="single"/>
        </w:rPr>
      </w:pPr>
    </w:p>
    <w:p w14:paraId="5FF00078" w14:textId="209229FC" w:rsidR="00093D1A" w:rsidRDefault="00093D1A" w:rsidP="00040F48">
      <w:pPr>
        <w:spacing w:after="0"/>
        <w:rPr>
          <w:u w:val="single"/>
        </w:rPr>
      </w:pPr>
      <w:r w:rsidRPr="00093D1A">
        <w:rPr>
          <w:u w:val="single"/>
        </w:rPr>
        <w:t xml:space="preserve">Comments on the Calculation Workbook: </w:t>
      </w:r>
    </w:p>
    <w:p w14:paraId="4CC995A1" w14:textId="58DD491C" w:rsidR="0020229E" w:rsidRDefault="0020229E" w:rsidP="00E153BF">
      <w:pPr>
        <w:pStyle w:val="ListParagraph"/>
        <w:numPr>
          <w:ilvl w:val="1"/>
          <w:numId w:val="9"/>
        </w:numPr>
        <w:spacing w:after="0"/>
      </w:pPr>
      <w:r>
        <w:t xml:space="preserve">Please provide </w:t>
      </w:r>
      <w:r w:rsidR="00170450">
        <w:t xml:space="preserve">a copy of the </w:t>
      </w:r>
      <w:r>
        <w:t xml:space="preserve">updated worksheet with </w:t>
      </w:r>
      <w:r w:rsidR="008A7F99">
        <w:t xml:space="preserve">the </w:t>
      </w:r>
      <w:r>
        <w:t>revised memo.</w:t>
      </w:r>
    </w:p>
    <w:p w14:paraId="046225B7" w14:textId="244502C1" w:rsidR="00093D1A" w:rsidRDefault="00093D1A" w:rsidP="00E153BF">
      <w:pPr>
        <w:pStyle w:val="ListParagraph"/>
        <w:numPr>
          <w:ilvl w:val="1"/>
          <w:numId w:val="9"/>
        </w:numPr>
        <w:spacing w:after="0"/>
      </w:pPr>
      <w:r w:rsidRPr="009D4CD8">
        <w:t>Program data inputs tab</w:t>
      </w:r>
      <w:r w:rsidR="0020229E">
        <w:t xml:space="preserve">, it looks like the average installed area of square footage for UI HES IE Rpre&lt;10 is double the area of the HES program and the Eversource HES and HES IE programs. Is it possible this might include multifamily units? </w:t>
      </w:r>
    </w:p>
    <w:p w14:paraId="2FBF04F5" w14:textId="57277A78" w:rsidR="006D3EE2" w:rsidRDefault="0020229E" w:rsidP="00E153BF">
      <w:pPr>
        <w:pStyle w:val="ListParagraph"/>
        <w:numPr>
          <w:ilvl w:val="1"/>
          <w:numId w:val="9"/>
        </w:numPr>
        <w:spacing w:after="0"/>
      </w:pPr>
      <w:r>
        <w:t xml:space="preserve">In our preliminary comments we had highlighted savings values using a flat average between UI and </w:t>
      </w:r>
      <w:r w:rsidR="00D81EFB">
        <w:t xml:space="preserve">Eversource </w:t>
      </w:r>
      <w:r>
        <w:t xml:space="preserve">for </w:t>
      </w:r>
      <w:r w:rsidR="004731AE">
        <w:t>insulation and</w:t>
      </w:r>
      <w:r>
        <w:t xml:space="preserve"> questioned why it was not weighted. Is a flat average used for all measures, and would it be better to use a weighted average?</w:t>
      </w:r>
    </w:p>
    <w:p w14:paraId="47452875" w14:textId="77777777" w:rsidR="00093D1A" w:rsidRPr="00093D1A" w:rsidRDefault="00093D1A" w:rsidP="00040F48">
      <w:pPr>
        <w:spacing w:after="0"/>
        <w:rPr>
          <w:u w:val="single"/>
        </w:rPr>
      </w:pPr>
    </w:p>
    <w:p w14:paraId="57339B8E" w14:textId="77777777" w:rsidR="00287D2B" w:rsidRPr="007A0D3F" w:rsidRDefault="00287D2B" w:rsidP="00040F48">
      <w:pPr>
        <w:spacing w:after="0"/>
      </w:pPr>
    </w:p>
    <w:p w14:paraId="5FC3E615" w14:textId="77777777" w:rsidR="00040F48" w:rsidRPr="007A0D3F" w:rsidRDefault="00040F48" w:rsidP="00040F48">
      <w:pPr>
        <w:spacing w:after="0"/>
      </w:pPr>
      <w:r w:rsidRPr="007A0D3F">
        <w:rPr>
          <w:rFonts w:hint="eastAsia"/>
        </w:rPr>
        <w:t>Sincerely,</w:t>
      </w:r>
    </w:p>
    <w:p w14:paraId="795E8BAB" w14:textId="77777777" w:rsidR="00040F48" w:rsidRPr="00040F48" w:rsidRDefault="00040F48" w:rsidP="00040F48">
      <w:pPr>
        <w:spacing w:after="0"/>
      </w:pPr>
    </w:p>
    <w:p w14:paraId="7D714ADD" w14:textId="30E19E09" w:rsidR="00040F48" w:rsidRPr="00040F48" w:rsidRDefault="004E00C3" w:rsidP="00040F48">
      <w:pPr>
        <w:autoSpaceDE w:val="0"/>
        <w:autoSpaceDN w:val="0"/>
        <w:adjustRightInd w:val="0"/>
        <w:spacing w:after="0" w:line="240" w:lineRule="auto"/>
      </w:pPr>
      <w:r>
        <w:t>Romilee Emerick</w:t>
      </w:r>
    </w:p>
    <w:p w14:paraId="61048473" w14:textId="41F17546" w:rsidR="00040F48" w:rsidRDefault="004E00C3" w:rsidP="00040F48">
      <w:pPr>
        <w:autoSpaceDE w:val="0"/>
        <w:autoSpaceDN w:val="0"/>
        <w:adjustRightInd w:val="0"/>
        <w:spacing w:after="0" w:line="240" w:lineRule="auto"/>
      </w:pPr>
      <w:r>
        <w:t>Supervisor</w:t>
      </w:r>
      <w:r w:rsidR="00040F48" w:rsidRPr="00040F48">
        <w:t xml:space="preserve">, Energy Efficiency </w:t>
      </w:r>
      <w:r>
        <w:t xml:space="preserve">Evaluation, </w:t>
      </w:r>
      <w:r w:rsidR="00040F48" w:rsidRPr="00040F48">
        <w:t>Eversource</w:t>
      </w:r>
    </w:p>
    <w:p w14:paraId="29E9B8BE" w14:textId="3C1B6A8A" w:rsidR="00040F48" w:rsidRPr="00040F48" w:rsidRDefault="00CD4738" w:rsidP="00040F48">
      <w:pPr>
        <w:autoSpaceDE w:val="0"/>
        <w:autoSpaceDN w:val="0"/>
        <w:adjustRightInd w:val="0"/>
        <w:spacing w:after="0" w:line="240" w:lineRule="auto"/>
      </w:pPr>
      <w:r>
        <w:t>m</w:t>
      </w:r>
      <w:r w:rsidR="004E00C3">
        <w:t>a</w:t>
      </w:r>
      <w:r>
        <w:t>r</w:t>
      </w:r>
      <w:r w:rsidR="004E00C3">
        <w:t>omilee.</w:t>
      </w:r>
      <w:r>
        <w:t>e</w:t>
      </w:r>
      <w:r w:rsidR="004E00C3">
        <w:t>merick</w:t>
      </w:r>
      <w:r w:rsidR="00040F48" w:rsidRPr="00040F48">
        <w:t>@</w:t>
      </w:r>
      <w:r w:rsidR="00EB2554">
        <w:t>e</w:t>
      </w:r>
      <w:r w:rsidR="00040F48" w:rsidRPr="00040F48">
        <w:t>versource.com</w:t>
      </w:r>
    </w:p>
    <w:p w14:paraId="60267755" w14:textId="15B1698E" w:rsidR="00C91018" w:rsidRPr="00040F48" w:rsidRDefault="00C91018" w:rsidP="00040F48">
      <w:pPr>
        <w:autoSpaceDE w:val="0"/>
        <w:autoSpaceDN w:val="0"/>
        <w:adjustRightInd w:val="0"/>
        <w:spacing w:after="0" w:line="240" w:lineRule="auto"/>
      </w:pPr>
    </w:p>
    <w:sectPr w:rsidR="00C91018" w:rsidRPr="00040F48" w:rsidSect="00D25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667D" w14:textId="77777777" w:rsidR="00376F3B" w:rsidRDefault="00376F3B" w:rsidP="004C48D6">
      <w:pPr>
        <w:spacing w:after="0" w:line="240" w:lineRule="auto"/>
      </w:pPr>
      <w:r>
        <w:separator/>
      </w:r>
    </w:p>
  </w:endnote>
  <w:endnote w:type="continuationSeparator" w:id="0">
    <w:p w14:paraId="7FADC94D" w14:textId="77777777" w:rsidR="00376F3B" w:rsidRDefault="00376F3B" w:rsidP="004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B7DC" w14:textId="77777777" w:rsidR="007470DB" w:rsidRDefault="0074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857B" w14:textId="77777777" w:rsidR="007470DB" w:rsidRDefault="00747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B136" w14:textId="77777777" w:rsidR="007470DB" w:rsidRDefault="00747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17C2" w14:textId="77777777" w:rsidR="00376F3B" w:rsidRDefault="00376F3B" w:rsidP="004C48D6">
      <w:pPr>
        <w:spacing w:after="0" w:line="240" w:lineRule="auto"/>
      </w:pPr>
      <w:r>
        <w:separator/>
      </w:r>
    </w:p>
  </w:footnote>
  <w:footnote w:type="continuationSeparator" w:id="0">
    <w:p w14:paraId="58F869FF" w14:textId="77777777" w:rsidR="00376F3B" w:rsidRDefault="00376F3B" w:rsidP="004C48D6">
      <w:pPr>
        <w:spacing w:after="0" w:line="240" w:lineRule="auto"/>
      </w:pPr>
      <w:r>
        <w:continuationSeparator/>
      </w:r>
    </w:p>
  </w:footnote>
  <w:footnote w:id="1">
    <w:p w14:paraId="5B0AF99D" w14:textId="2DE68411" w:rsidR="00AF7F23" w:rsidRDefault="00AF7F23">
      <w:pPr>
        <w:pStyle w:val="FootnoteText"/>
      </w:pPr>
      <w:r>
        <w:rPr>
          <w:rStyle w:val="FootnoteReference"/>
        </w:rPr>
        <w:footnoteRef/>
      </w:r>
      <w:r>
        <w:t xml:space="preserve"> Eversource received a follow-up memo on April 13, 2023. This memo includes measure-specific gross realization rates, billing analysis dataset and an analysis of participants included vs excluded from the billing analysis. Eversource is currently reviewing the </w:t>
      </w:r>
      <w:r w:rsidR="00C40B16">
        <w:t xml:space="preserve">information provided in this </w:t>
      </w:r>
      <w:r>
        <w:t>memo</w:t>
      </w:r>
      <w:r w:rsidR="00C40B16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B742" w14:textId="77777777" w:rsidR="007470DB" w:rsidRDefault="0074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BDEF" w14:textId="77777777" w:rsidR="007470DB" w:rsidRDefault="00747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A61" w14:textId="75EE163F" w:rsidR="00D25ECC" w:rsidRDefault="00D25EC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D87708" wp14:editId="7CAC312F">
          <wp:simplePos x="0" y="0"/>
          <wp:positionH relativeFrom="column">
            <wp:posOffset>-466725</wp:posOffset>
          </wp:positionH>
          <wp:positionV relativeFrom="paragraph">
            <wp:posOffset>38100</wp:posOffset>
          </wp:positionV>
          <wp:extent cx="2140585" cy="323850"/>
          <wp:effectExtent l="0" t="0" r="0" b="0"/>
          <wp:wrapThrough wrapText="bothSides">
            <wp:wrapPolygon edited="0">
              <wp:start x="0" y="0"/>
              <wp:lineTo x="0" y="20329"/>
              <wp:lineTo x="21337" y="20329"/>
              <wp:lineTo x="2133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494"/>
    <w:multiLevelType w:val="hybridMultilevel"/>
    <w:tmpl w:val="0E92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4AD"/>
    <w:multiLevelType w:val="hybridMultilevel"/>
    <w:tmpl w:val="63146828"/>
    <w:lvl w:ilvl="0" w:tplc="4DDE9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9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0E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E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8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C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9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597D01"/>
    <w:multiLevelType w:val="multilevel"/>
    <w:tmpl w:val="B660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D4F36"/>
    <w:multiLevelType w:val="hybridMultilevel"/>
    <w:tmpl w:val="E6EA4616"/>
    <w:lvl w:ilvl="0" w:tplc="AAC0F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75BF"/>
    <w:multiLevelType w:val="hybridMultilevel"/>
    <w:tmpl w:val="B97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15AC"/>
    <w:multiLevelType w:val="hybridMultilevel"/>
    <w:tmpl w:val="CEF41E40"/>
    <w:lvl w:ilvl="0" w:tplc="559CA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012A2"/>
    <w:multiLevelType w:val="hybridMultilevel"/>
    <w:tmpl w:val="5C40564E"/>
    <w:lvl w:ilvl="0" w:tplc="D91484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EF63EF"/>
    <w:multiLevelType w:val="hybridMultilevel"/>
    <w:tmpl w:val="5150FE00"/>
    <w:lvl w:ilvl="0" w:tplc="499670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72AF6"/>
    <w:multiLevelType w:val="hybridMultilevel"/>
    <w:tmpl w:val="5E2AEB84"/>
    <w:lvl w:ilvl="0" w:tplc="C6542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2052C"/>
    <w:multiLevelType w:val="hybridMultilevel"/>
    <w:tmpl w:val="5C40564E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E77907"/>
    <w:multiLevelType w:val="multilevel"/>
    <w:tmpl w:val="8A9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941502">
    <w:abstractNumId w:val="0"/>
  </w:num>
  <w:num w:numId="2" w16cid:durableId="1163080866">
    <w:abstractNumId w:val="2"/>
  </w:num>
  <w:num w:numId="3" w16cid:durableId="411127978">
    <w:abstractNumId w:val="10"/>
  </w:num>
  <w:num w:numId="4" w16cid:durableId="812791479">
    <w:abstractNumId w:val="4"/>
  </w:num>
  <w:num w:numId="5" w16cid:durableId="565453250">
    <w:abstractNumId w:val="8"/>
  </w:num>
  <w:num w:numId="6" w16cid:durableId="533346828">
    <w:abstractNumId w:val="5"/>
  </w:num>
  <w:num w:numId="7" w16cid:durableId="2108384725">
    <w:abstractNumId w:val="6"/>
  </w:num>
  <w:num w:numId="8" w16cid:durableId="582446974">
    <w:abstractNumId w:val="1"/>
  </w:num>
  <w:num w:numId="9" w16cid:durableId="227888625">
    <w:abstractNumId w:val="9"/>
  </w:num>
  <w:num w:numId="10" w16cid:durableId="379869149">
    <w:abstractNumId w:val="3"/>
  </w:num>
  <w:num w:numId="11" w16cid:durableId="189065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6"/>
    <w:rsid w:val="00040F48"/>
    <w:rsid w:val="00053F69"/>
    <w:rsid w:val="00056559"/>
    <w:rsid w:val="00093D1A"/>
    <w:rsid w:val="000C0789"/>
    <w:rsid w:val="000C36A6"/>
    <w:rsid w:val="000C7BD8"/>
    <w:rsid w:val="000C7D1D"/>
    <w:rsid w:val="000E7DF9"/>
    <w:rsid w:val="000F23D0"/>
    <w:rsid w:val="000F2510"/>
    <w:rsid w:val="00112520"/>
    <w:rsid w:val="00112AA8"/>
    <w:rsid w:val="001553FA"/>
    <w:rsid w:val="001650BD"/>
    <w:rsid w:val="00166D3D"/>
    <w:rsid w:val="00170450"/>
    <w:rsid w:val="00190CCB"/>
    <w:rsid w:val="001A6340"/>
    <w:rsid w:val="001D0339"/>
    <w:rsid w:val="001D0684"/>
    <w:rsid w:val="001E40A9"/>
    <w:rsid w:val="0020229E"/>
    <w:rsid w:val="00227C95"/>
    <w:rsid w:val="00243B00"/>
    <w:rsid w:val="002715C0"/>
    <w:rsid w:val="00284BE9"/>
    <w:rsid w:val="00287D2B"/>
    <w:rsid w:val="002A0208"/>
    <w:rsid w:val="002B1458"/>
    <w:rsid w:val="002C07D2"/>
    <w:rsid w:val="002D6479"/>
    <w:rsid w:val="002F0A5E"/>
    <w:rsid w:val="002F6488"/>
    <w:rsid w:val="00305E49"/>
    <w:rsid w:val="00311927"/>
    <w:rsid w:val="00312FA9"/>
    <w:rsid w:val="00322BFF"/>
    <w:rsid w:val="00335052"/>
    <w:rsid w:val="00335272"/>
    <w:rsid w:val="00337D55"/>
    <w:rsid w:val="0035054F"/>
    <w:rsid w:val="0035155B"/>
    <w:rsid w:val="0037024A"/>
    <w:rsid w:val="003728FD"/>
    <w:rsid w:val="00376F3B"/>
    <w:rsid w:val="00377ABC"/>
    <w:rsid w:val="0039531D"/>
    <w:rsid w:val="003A0611"/>
    <w:rsid w:val="003C2D4B"/>
    <w:rsid w:val="003C7D54"/>
    <w:rsid w:val="003D276D"/>
    <w:rsid w:val="003E1880"/>
    <w:rsid w:val="003E4935"/>
    <w:rsid w:val="003E4F5A"/>
    <w:rsid w:val="003F3369"/>
    <w:rsid w:val="00401F80"/>
    <w:rsid w:val="00436ADD"/>
    <w:rsid w:val="00436CAB"/>
    <w:rsid w:val="004428F7"/>
    <w:rsid w:val="004731AE"/>
    <w:rsid w:val="00480209"/>
    <w:rsid w:val="004C48D6"/>
    <w:rsid w:val="004C729A"/>
    <w:rsid w:val="004D7FB3"/>
    <w:rsid w:val="004E00C3"/>
    <w:rsid w:val="004E3ECC"/>
    <w:rsid w:val="004E42FF"/>
    <w:rsid w:val="00512ED9"/>
    <w:rsid w:val="005133A7"/>
    <w:rsid w:val="0051365D"/>
    <w:rsid w:val="005250D7"/>
    <w:rsid w:val="00534180"/>
    <w:rsid w:val="00543A85"/>
    <w:rsid w:val="00583EA7"/>
    <w:rsid w:val="005A1FD0"/>
    <w:rsid w:val="005A5FC4"/>
    <w:rsid w:val="005B3D18"/>
    <w:rsid w:val="005D0B2E"/>
    <w:rsid w:val="005D36A4"/>
    <w:rsid w:val="005E30FE"/>
    <w:rsid w:val="005F665C"/>
    <w:rsid w:val="00604112"/>
    <w:rsid w:val="00637925"/>
    <w:rsid w:val="00673303"/>
    <w:rsid w:val="006A73EB"/>
    <w:rsid w:val="006B554F"/>
    <w:rsid w:val="006B5C31"/>
    <w:rsid w:val="006D3EE2"/>
    <w:rsid w:val="006F4E7F"/>
    <w:rsid w:val="0070273F"/>
    <w:rsid w:val="00707B78"/>
    <w:rsid w:val="00715FA0"/>
    <w:rsid w:val="00731C9B"/>
    <w:rsid w:val="007470DB"/>
    <w:rsid w:val="0075542B"/>
    <w:rsid w:val="0076534E"/>
    <w:rsid w:val="00773D74"/>
    <w:rsid w:val="007950F5"/>
    <w:rsid w:val="0079708A"/>
    <w:rsid w:val="007A0D3F"/>
    <w:rsid w:val="007A3F43"/>
    <w:rsid w:val="007D3538"/>
    <w:rsid w:val="007E591E"/>
    <w:rsid w:val="00816FF7"/>
    <w:rsid w:val="008738FA"/>
    <w:rsid w:val="008743F2"/>
    <w:rsid w:val="0088485A"/>
    <w:rsid w:val="008A7F99"/>
    <w:rsid w:val="008F7753"/>
    <w:rsid w:val="00901F84"/>
    <w:rsid w:val="00905904"/>
    <w:rsid w:val="00937072"/>
    <w:rsid w:val="009451AA"/>
    <w:rsid w:val="0095217D"/>
    <w:rsid w:val="00976A77"/>
    <w:rsid w:val="00996310"/>
    <w:rsid w:val="009B7D14"/>
    <w:rsid w:val="009C196A"/>
    <w:rsid w:val="009D4CD8"/>
    <w:rsid w:val="009D6E22"/>
    <w:rsid w:val="009F6AFE"/>
    <w:rsid w:val="00A02C4E"/>
    <w:rsid w:val="00A02DAC"/>
    <w:rsid w:val="00A25854"/>
    <w:rsid w:val="00A30561"/>
    <w:rsid w:val="00A31D9A"/>
    <w:rsid w:val="00A3367C"/>
    <w:rsid w:val="00A47904"/>
    <w:rsid w:val="00A543FC"/>
    <w:rsid w:val="00A63C7D"/>
    <w:rsid w:val="00A93569"/>
    <w:rsid w:val="00A9590F"/>
    <w:rsid w:val="00AA758A"/>
    <w:rsid w:val="00AF7F23"/>
    <w:rsid w:val="00B029A5"/>
    <w:rsid w:val="00B52742"/>
    <w:rsid w:val="00B54A47"/>
    <w:rsid w:val="00B54D23"/>
    <w:rsid w:val="00B56A30"/>
    <w:rsid w:val="00BF3D82"/>
    <w:rsid w:val="00C0274A"/>
    <w:rsid w:val="00C23881"/>
    <w:rsid w:val="00C26B1F"/>
    <w:rsid w:val="00C368F7"/>
    <w:rsid w:val="00C40B16"/>
    <w:rsid w:val="00C553EB"/>
    <w:rsid w:val="00C62587"/>
    <w:rsid w:val="00C66AD7"/>
    <w:rsid w:val="00C8272C"/>
    <w:rsid w:val="00C83520"/>
    <w:rsid w:val="00C85BD1"/>
    <w:rsid w:val="00C91018"/>
    <w:rsid w:val="00C91E1B"/>
    <w:rsid w:val="00C9596F"/>
    <w:rsid w:val="00C96AA5"/>
    <w:rsid w:val="00CA0542"/>
    <w:rsid w:val="00CA4D5D"/>
    <w:rsid w:val="00CC473F"/>
    <w:rsid w:val="00CD4738"/>
    <w:rsid w:val="00CD50E1"/>
    <w:rsid w:val="00CE4682"/>
    <w:rsid w:val="00CF3B9F"/>
    <w:rsid w:val="00D169DD"/>
    <w:rsid w:val="00D25ECC"/>
    <w:rsid w:val="00D36823"/>
    <w:rsid w:val="00D61A64"/>
    <w:rsid w:val="00D757D1"/>
    <w:rsid w:val="00D81EFB"/>
    <w:rsid w:val="00DC2A36"/>
    <w:rsid w:val="00DE3196"/>
    <w:rsid w:val="00E05E83"/>
    <w:rsid w:val="00E1190D"/>
    <w:rsid w:val="00E12A1D"/>
    <w:rsid w:val="00E14FD3"/>
    <w:rsid w:val="00E153BF"/>
    <w:rsid w:val="00E309B1"/>
    <w:rsid w:val="00E3651A"/>
    <w:rsid w:val="00E37D34"/>
    <w:rsid w:val="00E42ECB"/>
    <w:rsid w:val="00E67DB4"/>
    <w:rsid w:val="00E81EA4"/>
    <w:rsid w:val="00E97AD6"/>
    <w:rsid w:val="00EB2554"/>
    <w:rsid w:val="00EE36FA"/>
    <w:rsid w:val="00F0407F"/>
    <w:rsid w:val="00F16799"/>
    <w:rsid w:val="00F2754E"/>
    <w:rsid w:val="00F4765E"/>
    <w:rsid w:val="00F64224"/>
    <w:rsid w:val="00F71F02"/>
    <w:rsid w:val="00F7793B"/>
    <w:rsid w:val="00F82486"/>
    <w:rsid w:val="00F9007F"/>
    <w:rsid w:val="00FA219A"/>
    <w:rsid w:val="00FC03CD"/>
    <w:rsid w:val="00FC5FC9"/>
    <w:rsid w:val="00FC77AE"/>
    <w:rsid w:val="00FD6892"/>
    <w:rsid w:val="00FE009D"/>
    <w:rsid w:val="00FE1999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27E10C"/>
  <w15:chartTrackingRefBased/>
  <w15:docId w15:val="{B4FB464A-AC54-41C9-BD8C-192F1A4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D6"/>
  </w:style>
  <w:style w:type="paragraph" w:styleId="Footer">
    <w:name w:val="footer"/>
    <w:basedOn w:val="Normal"/>
    <w:link w:val="Foot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D6"/>
  </w:style>
  <w:style w:type="paragraph" w:styleId="BalloonText">
    <w:name w:val="Balloon Text"/>
    <w:basedOn w:val="Normal"/>
    <w:link w:val="BalloonTextChar"/>
    <w:uiPriority w:val="99"/>
    <w:semiHidden/>
    <w:unhideWhenUsed/>
    <w:rsid w:val="00A0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3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23"/>
    <w:rPr>
      <w:b/>
      <w:bCs/>
      <w:sz w:val="20"/>
      <w:szCs w:val="20"/>
    </w:rPr>
  </w:style>
  <w:style w:type="paragraph" w:customStyle="1" w:styleId="RecommendationsKeyFindings">
    <w:name w:val="Recommendations/Key Findings"/>
    <w:basedOn w:val="Normal"/>
    <w:next w:val="Normal"/>
    <w:link w:val="RecommendationsKeyFindingsChar"/>
    <w:uiPriority w:val="2"/>
    <w:qFormat/>
    <w:rsid w:val="009B7D14"/>
    <w:pPr>
      <w:spacing w:after="120" w:line="276" w:lineRule="auto"/>
      <w:jc w:val="both"/>
    </w:pPr>
    <w:rPr>
      <w:rFonts w:ascii="Arial" w:eastAsiaTheme="minorEastAsia" w:hAnsi="Arial"/>
      <w:b/>
      <w:color w:val="ED7D31" w:themeColor="accent2"/>
      <w:szCs w:val="20"/>
      <w:lang w:bidi="en-US"/>
    </w:rPr>
  </w:style>
  <w:style w:type="character" w:customStyle="1" w:styleId="RecommendationsKeyFindingsChar">
    <w:name w:val="Recommendations/Key Findings Char"/>
    <w:basedOn w:val="DefaultParagraphFont"/>
    <w:link w:val="RecommendationsKeyFindings"/>
    <w:uiPriority w:val="2"/>
    <w:rsid w:val="009B7D14"/>
    <w:rPr>
      <w:rFonts w:ascii="Arial" w:eastAsiaTheme="minorEastAsia" w:hAnsi="Arial"/>
      <w:b/>
      <w:color w:val="ED7D31" w:themeColor="accent2"/>
      <w:szCs w:val="20"/>
      <w:lang w:bidi="en-US"/>
    </w:rPr>
  </w:style>
  <w:style w:type="paragraph" w:customStyle="1" w:styleId="Crossref">
    <w:name w:val="Crossref"/>
    <w:basedOn w:val="Normal"/>
    <w:link w:val="CrossrefChar"/>
    <w:qFormat/>
    <w:rsid w:val="009B7D14"/>
    <w:pPr>
      <w:keepNext/>
      <w:keepLines/>
      <w:spacing w:after="120" w:line="276" w:lineRule="auto"/>
      <w:jc w:val="both"/>
    </w:pPr>
    <w:rPr>
      <w:rFonts w:ascii="Arial" w:eastAsiaTheme="minorEastAsia" w:hAnsi="Arial"/>
      <w:color w:val="A5A5A5" w:themeColor="accent3"/>
    </w:rPr>
  </w:style>
  <w:style w:type="character" w:customStyle="1" w:styleId="CrossrefChar">
    <w:name w:val="Crossref Char"/>
    <w:basedOn w:val="DefaultParagraphFont"/>
    <w:link w:val="Crossref"/>
    <w:rsid w:val="009B7D14"/>
    <w:rPr>
      <w:rFonts w:ascii="Arial" w:eastAsiaTheme="minorEastAsia" w:hAnsi="Arial"/>
      <w:color w:val="A5A5A5" w:themeColor="accent3"/>
    </w:rPr>
  </w:style>
  <w:style w:type="paragraph" w:styleId="Revision">
    <w:name w:val="Revision"/>
    <w:hidden/>
    <w:uiPriority w:val="99"/>
    <w:semiHidden/>
    <w:rsid w:val="00DE3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D27DB34FD634E87C6C53F8FEC236F" ma:contentTypeVersion="12" ma:contentTypeDescription="Create a new document." ma:contentTypeScope="" ma:versionID="a965c3d5d0544584ff64a977f871cf17">
  <xsd:schema xmlns:xsd="http://www.w3.org/2001/XMLSchema" xmlns:xs="http://www.w3.org/2001/XMLSchema" xmlns:p="http://schemas.microsoft.com/office/2006/metadata/properties" xmlns:ns3="da942a2d-d28d-410d-ab1f-560d94534d22" xmlns:ns4="9f801f51-ea18-4468-929a-d22a61e292cb" targetNamespace="http://schemas.microsoft.com/office/2006/metadata/properties" ma:root="true" ma:fieldsID="31eb9e0f001ecb999845c18485413a54" ns3:_="" ns4:_="">
    <xsd:import namespace="da942a2d-d28d-410d-ab1f-560d94534d22"/>
    <xsd:import namespace="9f801f51-ea18-4468-929a-d22a61e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42a2d-d28d-410d-ab1f-560d9453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1f51-ea18-4468-929a-d22a61e29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CFA55-7A55-44E1-B70C-9EBB126A1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F0EF9-CEAB-416B-88AA-651AFFE7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42a2d-d28d-410d-ab1f-560d94534d22"/>
    <ds:schemaRef ds:uri="9f801f51-ea18-4468-929a-d22a61e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0CA42-3737-4E97-93CF-976D98F7D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BB5D1-3460-4FE6-98BE-1EB92C7AE1F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801f51-ea18-4468-929a-d22a61e292cb"/>
    <ds:schemaRef ds:uri="http://purl.org/dc/elements/1.1/"/>
    <ds:schemaRef ds:uri="da942a2d-d28d-410d-ab1f-560d94534d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Emerick, Ma Romilee</cp:lastModifiedBy>
  <cp:revision>21</cp:revision>
  <dcterms:created xsi:type="dcterms:W3CDTF">2023-04-17T17:58:00Z</dcterms:created>
  <dcterms:modified xsi:type="dcterms:W3CDTF">2023-04-18T00:08:00Z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0x010100F77D27DB34FD634E87C6C53F8FEC236F</vt:lpwstr>
  </property>
</Properties>
</file>